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PACAYA SAMIRIA AMAZON LODGE</w:t>
      </w:r>
    </w:p>
    <w:p w:rsidR="00000000" w:rsidDel="00000000" w:rsidP="00000000" w:rsidRDefault="00000000" w:rsidRPr="00000000" w14:paraId="00000002">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04 DIAS - 03 NOCHES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 </w:t>
      </w:r>
    </w:p>
    <w:p w:rsidR="00000000" w:rsidDel="00000000" w:rsidP="00000000" w:rsidRDefault="00000000" w:rsidRPr="00000000" w14:paraId="00000005">
      <w:pPr>
        <w:ind w:left="1080" w:firstLine="0"/>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6">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Traslados aeropuerto u hotel / Lodge / aeropuerto u hotel </w:t>
      </w:r>
    </w:p>
    <w:p w:rsidR="00000000" w:rsidDel="00000000" w:rsidP="00000000" w:rsidRDefault="00000000" w:rsidRPr="00000000" w14:paraId="00000007">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03 noches de alojamiento</w:t>
      </w:r>
    </w:p>
    <w:p w:rsidR="00000000" w:rsidDel="00000000" w:rsidP="00000000" w:rsidRDefault="00000000" w:rsidRPr="00000000" w14:paraId="00000008">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Alimentación completa</w:t>
      </w:r>
    </w:p>
    <w:p w:rsidR="00000000" w:rsidDel="00000000" w:rsidP="00000000" w:rsidRDefault="00000000" w:rsidRPr="00000000" w14:paraId="00000009">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Tours Según itinerario</w:t>
      </w:r>
    </w:p>
    <w:p w:rsidR="00000000" w:rsidDel="00000000" w:rsidP="00000000" w:rsidRDefault="00000000" w:rsidRPr="00000000" w14:paraId="0000000A">
      <w:pPr>
        <w:numPr>
          <w:ilvl w:val="0"/>
          <w:numId w:val="1"/>
        </w:numPr>
        <w:ind w:left="1080" w:hanging="360"/>
        <w:rPr>
          <w:sz w:val="20"/>
          <w:szCs w:val="20"/>
        </w:rPr>
      </w:pPr>
      <w:r w:rsidDel="00000000" w:rsidR="00000000" w:rsidRPr="00000000">
        <w:rPr>
          <w:rFonts w:ascii="Calibri" w:cs="Calibri" w:eastAsia="Calibri" w:hAnsi="Calibri"/>
          <w:sz w:val="22"/>
          <w:szCs w:val="22"/>
          <w:rtl w:val="0"/>
        </w:rPr>
        <w:t xml:space="preserve">Entrada y derecho de ingreso a la RN Pacaya Samiria</w:t>
      </w:r>
      <w:r w:rsidDel="00000000" w:rsidR="00000000" w:rsidRPr="00000000">
        <w:rPr>
          <w:rtl w:val="0"/>
        </w:rPr>
      </w:r>
    </w:p>
    <w:p w:rsidR="00000000" w:rsidDel="00000000" w:rsidP="00000000" w:rsidRDefault="00000000" w:rsidRPr="00000000" w14:paraId="0000000B">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Guía en español e ingles </w:t>
      </w:r>
    </w:p>
    <w:p w:rsidR="00000000" w:rsidDel="00000000" w:rsidP="00000000" w:rsidRDefault="00000000" w:rsidRPr="00000000" w14:paraId="0000000C">
      <w:pPr>
        <w:rPr>
          <w:rFonts w:ascii="Gadugi" w:cs="Gadugi" w:eastAsia="Gadugi" w:hAnsi="Gadugi"/>
          <w:sz w:val="20"/>
          <w:szCs w:val="20"/>
        </w:rPr>
      </w:pPr>
      <w:r w:rsidDel="00000000" w:rsidR="00000000" w:rsidRPr="00000000">
        <w:rPr>
          <w:rtl w:val="0"/>
        </w:rPr>
      </w:r>
    </w:p>
    <w:tbl>
      <w:tblPr>
        <w:tblStyle w:val="Table1"/>
        <w:tblW w:w="7847.0" w:type="dxa"/>
        <w:jc w:val="left"/>
        <w:tblInd w:w="6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2"/>
        <w:gridCol w:w="730"/>
        <w:gridCol w:w="850"/>
        <w:gridCol w:w="709"/>
        <w:gridCol w:w="2176"/>
        <w:tblGridChange w:id="0">
          <w:tblGrid>
            <w:gridCol w:w="3382"/>
            <w:gridCol w:w="730"/>
            <w:gridCol w:w="850"/>
            <w:gridCol w:w="709"/>
            <w:gridCol w:w="2176"/>
          </w:tblGrid>
        </w:tblGridChange>
      </w:tblGrid>
      <w:tr>
        <w:trPr>
          <w:cantSplit w:val="0"/>
          <w:trHeight w:val="163" w:hRule="atLeast"/>
          <w:tblHeader w:val="0"/>
        </w:trPr>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sz w:val="20"/>
                <w:szCs w:val="20"/>
              </w:rPr>
            </w:pPr>
            <w:r w:rsidDel="00000000" w:rsidR="00000000" w:rsidRPr="00000000">
              <w:rPr>
                <w:rtl w:val="0"/>
              </w:rPr>
            </w:r>
          </w:p>
        </w:tc>
        <w:tc>
          <w:tcPr>
            <w:gridSpan w:val="4"/>
            <w:tcBorders>
              <w:right w:color="000000" w:space="0" w:sz="12" w:val="single"/>
            </w:tcBorders>
            <w:shd w:fill="043c77" w:val="clear"/>
          </w:tcPr>
          <w:p w:rsidR="00000000" w:rsidDel="00000000" w:rsidP="00000000" w:rsidRDefault="00000000" w:rsidRPr="00000000" w14:paraId="0000000E">
            <w:pP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PERUANO / EXTRANJERO</w:t>
            </w:r>
          </w:p>
        </w:tc>
      </w:tr>
      <w:tr>
        <w:trPr>
          <w:cantSplit w:val="0"/>
          <w:tblHeader w:val="0"/>
        </w:trPr>
        <w:tc>
          <w:tcPr>
            <w:shd w:fill="ffc000" w:val="clear"/>
            <w:tcMar>
              <w:left w:w="108.0" w:type="dxa"/>
              <w:right w:w="108.0" w:type="dxa"/>
            </w:tcMar>
          </w:tcPr>
          <w:p w:rsidR="00000000" w:rsidDel="00000000" w:rsidP="00000000" w:rsidRDefault="00000000" w:rsidRPr="00000000" w14:paraId="00000012">
            <w:pP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HABITACIONES</w:t>
            </w:r>
          </w:p>
        </w:tc>
        <w:tc>
          <w:tcPr>
            <w:shd w:fill="ffc000" w:val="clear"/>
            <w:tcMar>
              <w:left w:w="108.0" w:type="dxa"/>
              <w:right w:w="108.0" w:type="dxa"/>
            </w:tcMar>
          </w:tcPr>
          <w:p w:rsidR="00000000" w:rsidDel="00000000" w:rsidP="00000000" w:rsidRDefault="00000000" w:rsidRPr="00000000" w14:paraId="00000013">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SPL</w:t>
            </w:r>
          </w:p>
        </w:tc>
        <w:tc>
          <w:tcPr>
            <w:shd w:fill="ffc000" w:val="clear"/>
            <w:tcMar>
              <w:left w:w="108.0" w:type="dxa"/>
              <w:right w:w="108.0" w:type="dxa"/>
            </w:tcMar>
          </w:tcPr>
          <w:p w:rsidR="00000000" w:rsidDel="00000000" w:rsidP="00000000" w:rsidRDefault="00000000" w:rsidRPr="00000000" w14:paraId="00000014">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DBL</w:t>
            </w:r>
          </w:p>
        </w:tc>
        <w:tc>
          <w:tcPr>
            <w:shd w:fill="ffc000" w:val="clear"/>
            <w:tcMar>
              <w:left w:w="108.0" w:type="dxa"/>
              <w:right w:w="108.0" w:type="dxa"/>
            </w:tcMar>
          </w:tcPr>
          <w:p w:rsidR="00000000" w:rsidDel="00000000" w:rsidP="00000000" w:rsidRDefault="00000000" w:rsidRPr="00000000" w14:paraId="00000015">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TPL</w:t>
            </w:r>
          </w:p>
        </w:tc>
        <w:tc>
          <w:tcPr>
            <w:shd w:fill="ffc000" w:val="clear"/>
            <w:tcMar>
              <w:left w:w="108.0" w:type="dxa"/>
              <w:right w:w="108.0" w:type="dxa"/>
            </w:tcMar>
          </w:tcPr>
          <w:p w:rsidR="00000000" w:rsidDel="00000000" w:rsidP="00000000" w:rsidRDefault="00000000" w:rsidRPr="00000000" w14:paraId="00000016">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CHD</w:t>
            </w:r>
          </w:p>
          <w:p w:rsidR="00000000" w:rsidDel="00000000" w:rsidP="00000000" w:rsidRDefault="00000000" w:rsidRPr="00000000" w14:paraId="00000017">
            <w:pPr>
              <w:jc w:val="center"/>
              <w:rPr>
                <w:rFonts w:ascii="Gadugi" w:cs="Gadugi" w:eastAsia="Gadugi" w:hAnsi="Gadugi"/>
                <w:b w:val="1"/>
                <w:bCs w:val="1"/>
                <w:sz w:val="18"/>
                <w:szCs w:val="18"/>
              </w:rPr>
            </w:pPr>
            <w:r w:rsidDel="00000000" w:rsidR="00000000" w:rsidRPr="00000000">
              <w:rPr>
                <w:rtl w:val="0"/>
              </w:rPr>
            </w:r>
          </w:p>
        </w:tc>
      </w:tr>
      <w:tr>
        <w:trPr>
          <w:cantSplit w:val="0"/>
          <w:tblHeader w:val="0"/>
        </w:trPr>
        <w:tc>
          <w:tcPr>
            <w:shd w:fill="auto" w:val="clear"/>
            <w:tcMar>
              <w:left w:w="108.0" w:type="dxa"/>
              <w:right w:w="108.0" w:type="dxa"/>
            </w:tcMar>
          </w:tcPr>
          <w:p w:rsidR="00000000" w:rsidDel="00000000" w:rsidP="00000000" w:rsidRDefault="00000000" w:rsidRPr="00000000" w14:paraId="00000018">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CABAÑAS</w:t>
            </w:r>
          </w:p>
        </w:tc>
        <w:tc>
          <w:tcPr>
            <w:tcMar>
              <w:left w:w="108.0" w:type="dxa"/>
              <w:right w:w="108.0" w:type="dxa"/>
            </w:tcMar>
          </w:tcPr>
          <w:p w:rsidR="00000000" w:rsidDel="00000000" w:rsidP="00000000" w:rsidRDefault="00000000" w:rsidRPr="00000000" w14:paraId="00000019">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1385</w:t>
            </w:r>
          </w:p>
        </w:tc>
        <w:tc>
          <w:tcPr>
            <w:tcMar>
              <w:left w:w="108.0" w:type="dxa"/>
              <w:right w:w="108.0" w:type="dxa"/>
            </w:tcMar>
          </w:tcPr>
          <w:p w:rsidR="00000000" w:rsidDel="00000000" w:rsidP="00000000" w:rsidRDefault="00000000" w:rsidRPr="00000000" w14:paraId="0000001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710</w:t>
            </w:r>
          </w:p>
        </w:tc>
        <w:tc>
          <w:tcPr>
            <w:tcMar>
              <w:left w:w="108.0" w:type="dxa"/>
              <w:right w:w="108.0" w:type="dxa"/>
            </w:tcMar>
          </w:tcPr>
          <w:p w:rsidR="00000000" w:rsidDel="00000000" w:rsidP="00000000" w:rsidRDefault="00000000" w:rsidRPr="00000000" w14:paraId="0000001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710</w:t>
            </w:r>
          </w:p>
        </w:tc>
        <w:tc>
          <w:tcPr>
            <w:shd w:fill="auto" w:val="clear"/>
            <w:tcMar>
              <w:left w:w="108.0" w:type="dxa"/>
              <w:right w:w="108.0" w:type="dxa"/>
            </w:tcMar>
          </w:tcPr>
          <w:p w:rsidR="00000000" w:rsidDel="00000000" w:rsidP="00000000" w:rsidRDefault="00000000" w:rsidRPr="00000000" w14:paraId="0000001C">
            <w:pPr>
              <w:jc w:val="center"/>
              <w:rPr>
                <w:rFonts w:ascii="Gadugi" w:cs="Gadugi" w:eastAsia="Gadugi" w:hAnsi="Gadugi"/>
                <w:b w:val="1"/>
                <w:bCs w:val="1"/>
                <w:sz w:val="20"/>
                <w:szCs w:val="20"/>
              </w:rPr>
            </w:pPr>
            <w:bookmarkStart w:colFirst="0" w:colLast="0" w:name="_ltc2mpok6kdt" w:id="0"/>
            <w:bookmarkEnd w:id="0"/>
            <w:r w:rsidDel="00000000" w:rsidR="00000000" w:rsidRPr="00000000">
              <w:rPr>
                <w:rFonts w:ascii="Gadugi" w:cs="Gadugi" w:eastAsia="Gadugi" w:hAnsi="Gadugi"/>
                <w:b w:val="1"/>
                <w:bCs w:val="1"/>
                <w:sz w:val="20"/>
                <w:szCs w:val="20"/>
                <w:rtl w:val="0"/>
              </w:rPr>
              <w:t xml:space="preserve">420</w:t>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left="-426" w:firstLine="786"/>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NOTAS IMPORTANTES: </w:t>
      </w:r>
    </w:p>
    <w:p w:rsidR="00000000" w:rsidDel="00000000" w:rsidP="00000000" w:rsidRDefault="00000000" w:rsidRPr="00000000" w14:paraId="0000001F">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CONSULTAR TIPO DE CAMBIO</w:t>
      </w:r>
    </w:p>
    <w:p w:rsidR="00000000" w:rsidDel="00000000" w:rsidP="00000000" w:rsidRDefault="00000000" w:rsidRPr="00000000" w14:paraId="00000020">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 POR PERSONA/ PRECIOS EXPRESADOS EN DOLARES AMERICANOS</w:t>
      </w:r>
    </w:p>
    <w:p w:rsidR="00000000" w:rsidDel="00000000" w:rsidP="00000000" w:rsidRDefault="00000000" w:rsidRPr="00000000" w14:paraId="00000021">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RECOMENDADO NIÑOS MAYORES DE 3 AÑOS</w:t>
      </w:r>
    </w:p>
    <w:p w:rsidR="00000000" w:rsidDel="00000000" w:rsidP="00000000" w:rsidRDefault="00000000" w:rsidRPr="00000000" w14:paraId="00000022">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TARJETA DE CREDITO 4%</w:t>
      </w:r>
    </w:p>
    <w:p w:rsidR="00000000" w:rsidDel="00000000" w:rsidP="00000000" w:rsidRDefault="00000000" w:rsidRPr="00000000" w14:paraId="00000023">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SE CONSIDERA NIÑOS DE 0 A 11 AÑOS </w:t>
      </w:r>
    </w:p>
    <w:p w:rsidR="00000000" w:rsidDel="00000000" w:rsidP="00000000" w:rsidRDefault="00000000" w:rsidRPr="00000000" w14:paraId="00000024">
      <w:pPr>
        <w:numPr>
          <w:ilvl w:val="0"/>
          <w:numId w:val="3"/>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niño comparte habitación con sus padres. </w:t>
      </w:r>
    </w:p>
    <w:p w:rsidR="00000000" w:rsidDel="00000000" w:rsidP="00000000" w:rsidRDefault="00000000" w:rsidRPr="00000000" w14:paraId="00000025">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NO APLICA FERIADOS LARGOS O DIAS FESTIVOS</w:t>
      </w:r>
    </w:p>
    <w:p w:rsidR="00000000" w:rsidDel="00000000" w:rsidP="00000000" w:rsidRDefault="00000000" w:rsidRPr="00000000" w14:paraId="00000026">
      <w:pPr>
        <w:numPr>
          <w:ilvl w:val="0"/>
          <w:numId w:val="3"/>
        </w:numPr>
        <w:shd w:fill="ffffff" w:val="clear"/>
        <w:ind w:left="720" w:hanging="360"/>
        <w:rPr>
          <w:b w:val="1"/>
          <w:bCs w:val="1"/>
        </w:rPr>
      </w:pPr>
      <w:r w:rsidDel="00000000" w:rsidR="00000000" w:rsidRPr="00000000">
        <w:rPr>
          <w:rFonts w:ascii="Gadugi" w:cs="Gadugi" w:eastAsia="Gadugi" w:hAnsi="Gadugi"/>
          <w:b w:val="1"/>
          <w:bCs w:val="1"/>
          <w:sz w:val="20"/>
          <w:szCs w:val="20"/>
          <w:rtl w:val="0"/>
        </w:rPr>
        <w:t xml:space="preserve">Vigencia de compra: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7">
      <w:pPr>
        <w:numPr>
          <w:ilvl w:val="0"/>
          <w:numId w:val="3"/>
        </w:numPr>
        <w:shd w:fill="ffffff" w:val="clear"/>
        <w:ind w:left="720" w:hanging="360"/>
        <w:rPr/>
      </w:pPr>
      <w:r w:rsidDel="00000000" w:rsidR="00000000" w:rsidRPr="00000000">
        <w:rPr>
          <w:rFonts w:ascii="Gadugi" w:cs="Gadugi" w:eastAsia="Gadugi" w:hAnsi="Gadugi"/>
          <w:b w:val="1"/>
          <w:bCs w:val="1"/>
          <w:sz w:val="20"/>
          <w:szCs w:val="20"/>
          <w:rtl w:val="0"/>
        </w:rPr>
        <w:t xml:space="preserve">Vigencia de viaje: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8">
      <w:pPr>
        <w:numPr>
          <w:ilvl w:val="0"/>
          <w:numId w:val="4"/>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programa puede variar dependiendo de los arribos y salidas de los vuelos, así como de las condiciones climatológicas.</w:t>
      </w:r>
    </w:p>
    <w:p w:rsidR="00000000" w:rsidDel="00000000" w:rsidP="00000000" w:rsidRDefault="00000000" w:rsidRPr="00000000" w14:paraId="00000029">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2A">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2B">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VUELOS QUE DEBEN TOMAR LIMA / IQUITOS / LIMA</w:t>
      </w:r>
    </w:p>
    <w:p w:rsidR="00000000" w:rsidDel="00000000" w:rsidP="00000000" w:rsidRDefault="00000000" w:rsidRPr="00000000" w14:paraId="0000002C">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Lima / Iquitos: debe llegar a Iquitos antes de las 09:00 Hrs.</w:t>
      </w:r>
    </w:p>
    <w:p w:rsidR="00000000" w:rsidDel="00000000" w:rsidP="00000000" w:rsidRDefault="00000000" w:rsidRPr="00000000" w14:paraId="0000002D">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Iquitos / Lima: deben tomar vuelo de las 18:00 Hrs. en adelante</w:t>
      </w:r>
    </w:p>
    <w:p w:rsidR="00000000" w:rsidDel="00000000" w:rsidP="00000000" w:rsidRDefault="00000000" w:rsidRPr="00000000" w14:paraId="0000002E">
      <w:pPr>
        <w:spacing w:line="252.00000000000003" w:lineRule="auto"/>
        <w:ind w:left="720" w:firstLine="0"/>
        <w:rPr>
          <w:rFonts w:ascii="Gadugi" w:cs="Gadugi" w:eastAsia="Gadugi" w:hAnsi="Gadugi"/>
          <w:sz w:val="20"/>
          <w:szCs w:val="20"/>
          <w:highlight w:val="yellow"/>
        </w:rPr>
      </w:pPr>
      <w:r w:rsidDel="00000000" w:rsidR="00000000" w:rsidRPr="00000000">
        <w:rPr>
          <w:rFonts w:ascii="Gadugi" w:cs="Gadugi" w:eastAsia="Gadugi" w:hAnsi="Gadugi"/>
          <w:sz w:val="20"/>
          <w:szCs w:val="20"/>
          <w:highlight w:val="yellow"/>
          <w:rtl w:val="0"/>
        </w:rPr>
        <w:t xml:space="preserve">Si en caso llega en horarios no recomendados el costo del bote extra es US$ 125 (One-way)</w:t>
      </w:r>
    </w:p>
    <w:p w:rsidR="00000000" w:rsidDel="00000000" w:rsidP="00000000" w:rsidRDefault="00000000" w:rsidRPr="00000000" w14:paraId="0000002F">
      <w:pPr>
        <w:ind w:left="720" w:firstLine="0"/>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0">
      <w:pPr>
        <w:ind w:left="720" w:firstLine="0"/>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DATOS IMPORTANTES</w:t>
      </w:r>
      <w:r w:rsidDel="00000000" w:rsidR="00000000" w:rsidRPr="00000000">
        <w:rPr>
          <w:rtl w:val="0"/>
        </w:rPr>
      </w:r>
    </w:p>
    <w:p w:rsidR="00000000" w:rsidDel="00000000" w:rsidP="00000000" w:rsidRDefault="00000000" w:rsidRPr="00000000" w14:paraId="00000031">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2">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Para el último día se incluye el almuerzo dependiendo del horario de vuelo. En caso de no tomarlo no habrá descuento ni reembolso.</w:t>
      </w:r>
    </w:p>
    <w:p w:rsidR="00000000" w:rsidDel="00000000" w:rsidP="00000000" w:rsidRDefault="00000000" w:rsidRPr="00000000" w14:paraId="00000033">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El programa puede variar de acuerdo a las condiciones climáticas y según la estación (vaciante y/o creciente de los ríos amazónicos). </w:t>
      </w:r>
    </w:p>
    <w:p w:rsidR="00000000" w:rsidDel="00000000" w:rsidP="00000000" w:rsidRDefault="00000000" w:rsidRPr="00000000" w14:paraId="00000034">
      <w:pPr>
        <w:numPr>
          <w:ilvl w:val="0"/>
          <w:numId w:val="2"/>
        </w:numPr>
        <w:spacing w:line="276" w:lineRule="auto"/>
        <w:ind w:left="720" w:hanging="360"/>
        <w:jc w:val="both"/>
        <w:rPr>
          <w:sz w:val="20"/>
          <w:szCs w:val="20"/>
        </w:rPr>
      </w:pPr>
      <w:r w:rsidDel="00000000" w:rsidR="00000000" w:rsidRPr="00000000">
        <w:rPr>
          <w:rFonts w:ascii="Gadugi" w:cs="Gadugi" w:eastAsia="Gadugi" w:hAnsi="Gadugi"/>
          <w:b w:val="1"/>
          <w:bCs w:val="1"/>
          <w:sz w:val="20"/>
          <w:szCs w:val="20"/>
          <w:rtl w:val="0"/>
        </w:rPr>
        <w:t xml:space="preserve">Pacaya Samiria Amazon Lodge</w:t>
      </w:r>
      <w:r w:rsidDel="00000000" w:rsidR="00000000" w:rsidRPr="00000000">
        <w:rPr>
          <w:rFonts w:ascii="Gadugi" w:cs="Gadugi" w:eastAsia="Gadugi" w:hAnsi="Gadugi"/>
          <w:sz w:val="20"/>
          <w:szCs w:val="20"/>
          <w:rtl w:val="0"/>
        </w:rPr>
        <w:t xml:space="preserve"> cuenta con el juego interactivo “Rescate de la Princesa Amana”, especialmente diseñado para niños y adolescentes y apoyado en la tecnología de realidad aumentada. Este juego podrá ser realizado durante los tiempos libres de que dispongan nuestros clientes. </w:t>
      </w:r>
    </w:p>
    <w:p w:rsidR="00000000" w:rsidDel="00000000" w:rsidP="00000000" w:rsidRDefault="00000000" w:rsidRPr="00000000" w14:paraId="00000035">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Espacios sujetos a disponibilidad.</w:t>
      </w:r>
      <w:r w:rsidDel="00000000" w:rsidR="00000000" w:rsidRPr="00000000">
        <w:rPr>
          <w:rtl w:val="0"/>
        </w:rPr>
      </w:r>
    </w:p>
    <w:p w:rsidR="00000000" w:rsidDel="00000000" w:rsidP="00000000" w:rsidRDefault="00000000" w:rsidRPr="00000000" w14:paraId="00000036">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Aplica restricciones.</w:t>
      </w:r>
      <w:r w:rsidDel="00000000" w:rsidR="00000000" w:rsidRPr="00000000">
        <w:rPr>
          <w:rtl w:val="0"/>
        </w:rPr>
      </w:r>
    </w:p>
    <w:p w:rsidR="00000000" w:rsidDel="00000000" w:rsidP="00000000" w:rsidRDefault="00000000" w:rsidRPr="00000000" w14:paraId="00000037">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8">
      <w:pPr>
        <w:shd w:fill="ffffff" w:val="clear"/>
        <w:ind w:left="720" w:firstLine="0"/>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39">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IQUITOS / ECOLODGE</w:t>
      </w:r>
    </w:p>
    <w:p w:rsidR="00000000" w:rsidDel="00000000" w:rsidP="00000000" w:rsidRDefault="00000000" w:rsidRPr="00000000" w14:paraId="0000003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el aeropuerto o recojo desde el hotel para empezar nuestra aventura por la selva peruana, luego nos trasladaremos hacia la localidad de Nauta, la primera población fundada por los españoles en la ribera del río Marañón; el viaje dura aproximadamente 1.30 h. con un recorrido de 97 km. Camino al puerto de Nauta visitaremos San Joaquín de Omaguas uno de los centros poblados más antiguos de la región Loreto, desde donde podremos avistar el nacimiento del grandioso río Amazonas, el más caudaloso y largo del mundo. También visitaremos el Centro de Interpretación Samuel Fritz donde nuestros guías nos relataran la historia de San Joaquín de Omaguas y el rol estratégico que cumplió en los siglos XVII y XVIII como cabecera de las misiones evangélicas.</w:t>
      </w:r>
    </w:p>
    <w:p w:rsidR="00000000" w:rsidDel="00000000" w:rsidP="00000000" w:rsidRDefault="00000000" w:rsidRPr="00000000" w14:paraId="0000003C">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puerto de Nauta abordaremos la embarcación para seguir el viaje hasta el ecolodge, en el camino visitaremos el Fundo Casual (época de creciente) donde iremos en busca de especies de flora y fauna. Al llegar al ecolodge un descendiente de la etnia Kukama Kukamiria nos dará la bienvenida y nos invitará a disfrutar de un refresco de frutas de la estación. Asignación de bungalows. Después del almuerzo, nuestro guía nos invitará a seleccionar una actividad sostenible la cual realizaremos durante nuestra estancia en el ecolodge (por ejemplo, plantar un árbol o una planta, aprender 10 palabras en Kukama, etc.).</w:t>
      </w:r>
    </w:p>
    <w:p w:rsidR="00000000" w:rsidDel="00000000" w:rsidP="00000000" w:rsidRDefault="00000000" w:rsidRPr="00000000" w14:paraId="0000003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Para completar la experiencia tendremos la posibilidad de recorrer el Ecotrail Etnobotánico que permitirá visitar 10 especies de flora amazónica con el apoyo de Amana (guía virtual generada por nuestra App de realidad aumentada). Cena.</w:t>
      </w:r>
    </w:p>
    <w:p w:rsidR="00000000" w:rsidDel="00000000" w:rsidP="00000000" w:rsidRDefault="00000000" w:rsidRPr="00000000" w14:paraId="0000003E">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 la cena, nuestro guía realizará un conversatorio sobre mitos y leyendas de la Amazonía durante el cual tendremos la posibilidad de hacer un recorrido por el Ecotrail Mitológico que permitirá visualizar y conocer a 5 personajes de la mitología amazónica. Pernocte.</w:t>
      </w:r>
    </w:p>
    <w:p w:rsidR="00000000" w:rsidDel="00000000" w:rsidP="00000000" w:rsidRDefault="00000000" w:rsidRPr="00000000" w14:paraId="0000003F">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0">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 RESERVA PRIVADA / NAUTA CAÑO - RESERVA NACIONAL PACAYA SAMIRIA</w:t>
      </w:r>
    </w:p>
    <w:p w:rsidR="00000000" w:rsidDel="00000000" w:rsidP="00000000" w:rsidRDefault="00000000" w:rsidRPr="00000000" w14:paraId="00000041">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nuestro guía nos invitará a efectuar una visita a la Reserva Privada de nuestro ecolodge (bosque de restinga). Aquí pondremos a prueba nuestro espíritu aventurero a través de senderos llenos de biodiversidad. Caminata de interpretación de flora y fauna siguiendo la ruta de los primates y otros animales. El guía nos irá explicando sobre el uso de plantas y árboles medicinales. Durante nuestro recorrido tendremos la posibilidad de efectuar el Ecotrail de Fauna que nos permitirá adquirir más conocimiento sobre 6 especies de la zona a través de la narración de un guía virtual. Por la tarde nos dirigiremos hacia la Reserva Nacional Pacaya Samiria, zona de Nauta Caño donde nos registraremos y haremos el ingreso a la reserva.</w:t>
      </w:r>
    </w:p>
    <w:p w:rsidR="00000000" w:rsidDel="00000000" w:rsidP="00000000" w:rsidRDefault="00000000" w:rsidRPr="00000000" w14:paraId="00000042">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nuestra visita realizaremos una excursión en búsqueda de delfines rosados y grises por la quebrada del mismo nombre, además estaremos en contacto con la inmensa variedad de flora y fauna que la reserva nos ofrece. Lo primero que llamará nuestra atención son las aguas del río que reflejan con tal fidelidad el cielo, las nubes, la vegetación de las orillas y de los grandes árboles, que el visitante tiene la sensación de ir navegando entre espejos interminables, por lo que Pacaya Samiria es también conocida como “La Selva de los Espejos”.</w:t>
      </w:r>
    </w:p>
    <w:p w:rsidR="00000000" w:rsidDel="00000000" w:rsidP="00000000" w:rsidRDefault="00000000" w:rsidRPr="00000000" w14:paraId="00000043">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Durante el viaje podremos identificar variedad de aves y haremos una práctica de pesca artesanal con el material que utiliza el hombre amazónico con fines de subsistencia.</w:t>
      </w:r>
    </w:p>
    <w:p w:rsidR="00000000" w:rsidDel="00000000" w:rsidP="00000000" w:rsidRDefault="00000000" w:rsidRPr="00000000" w14:paraId="00000044">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Excursión nocturna por el bosque circundante al ecolodge. Pernocte.</w:t>
      </w:r>
    </w:p>
    <w:p w:rsidR="00000000" w:rsidDel="00000000" w:rsidP="00000000" w:rsidRDefault="00000000" w:rsidRPr="00000000" w14:paraId="00000045">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6">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3: FULL DAY RESERVA NACIONAL PACAYA SAMIRIA</w:t>
      </w:r>
    </w:p>
    <w:p w:rsidR="00000000" w:rsidDel="00000000" w:rsidP="00000000" w:rsidRDefault="00000000" w:rsidRPr="00000000" w14:paraId="00000047">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Luego del desayuno iniciamos nuestro segundo ingreso a la Reserva Nacional Pacaya Samiria. Navegaremos la cuenca del río Yanayacu donde se ubica la Comunidad 20 de Enero; aquí podremos conocer los trabajos que realizan los moradores locales organizados en grupos de manejo de recursos naturales para preservar las especies de la RN, allí se realizaran actividades como el escalamiento de aguaje y conoceremos su forma de vida. Seguiremos navegando dentro de la reserva, durante el viaje identificaremos variedad de aves y una práctica de pesca artesanal con el material que utiliza el hombre amazónico con fines de subsistencia. Retorno al ecolodge. Cena. Pernocte.</w:t>
      </w:r>
    </w:p>
    <w:p w:rsidR="00000000" w:rsidDel="00000000" w:rsidP="00000000" w:rsidRDefault="00000000" w:rsidRPr="00000000" w14:paraId="00000048">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9">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4: COCHA SHIRIYACU / COMUNIDAD SAN JORGE / IQUITOS</w:t>
      </w:r>
    </w:p>
    <w:p w:rsidR="00000000" w:rsidDel="00000000" w:rsidP="00000000" w:rsidRDefault="00000000" w:rsidRPr="00000000" w14:paraId="0000004A">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excursión en bote por el río Marañón hacia Cocha Shiriyacu (según temporada y condiciones adecuadas para la pesca). Visitaremos la Comunidad San Jorge y el Centro de Mujeres Artesanas (Pua Kamatawara), conocidas por sus trabajos en fibra natural (Chambira) y tallado en wingo o calabaza. Retorno al ecolodge. A hora oportuna, abordaremos la embarcación hacia el puerto de Nauta. Llegada al puerto de Nauta y traslado a Iquitos.</w:t>
      </w:r>
    </w:p>
    <w:p w:rsidR="00000000" w:rsidDel="00000000" w:rsidP="00000000" w:rsidRDefault="00000000" w:rsidRPr="00000000" w14:paraId="0000004B">
      <w:pPr>
        <w:jc w:val="both"/>
        <w:rPr>
          <w:rFonts w:ascii="Gadugi" w:cs="Gadugi" w:eastAsia="Gadugi" w:hAnsi="Gadugi"/>
          <w:b w:val="1"/>
          <w:bCs w:val="1"/>
          <w:sz w:val="20"/>
          <w:szCs w:val="20"/>
        </w:rPr>
      </w:pPr>
      <w:r w:rsidDel="00000000" w:rsidR="00000000" w:rsidRPr="00000000">
        <w:rPr>
          <w:rFonts w:ascii="Gadugi" w:cs="Gadugi" w:eastAsia="Gadugi" w:hAnsi="Gadugi"/>
          <w:sz w:val="20"/>
          <w:szCs w:val="20"/>
          <w:rtl w:val="0"/>
        </w:rPr>
        <w:t xml:space="preserve">Traslado al hotel o aeropuerto de Iquitos.</w:t>
      </w:r>
      <w:r w:rsidDel="00000000" w:rsidR="00000000" w:rsidRPr="00000000">
        <w:rPr>
          <w:rtl w:val="0"/>
        </w:rPr>
      </w:r>
    </w:p>
    <w:p w:rsidR="00000000" w:rsidDel="00000000" w:rsidP="00000000" w:rsidRDefault="00000000" w:rsidRPr="00000000" w14:paraId="0000004C">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4D">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NUESTROS SERVICIOS</w:t>
      </w:r>
    </w:p>
    <w:p w:rsidR="00000000" w:rsidDel="00000000" w:rsidP="00000000" w:rsidRDefault="00000000" w:rsidRPr="00000000" w14:paraId="0000004E">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F">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0">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1">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2">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3">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4">
      <w:pPr>
        <w:rPr>
          <w:rFonts w:ascii="Gadugi" w:cs="Gadugi" w:eastAsia="Gadugi" w:hAnsi="Gadugi"/>
          <w:sz w:val="20"/>
          <w:szCs w:val="20"/>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17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-2617469</wp:posOffset>
          </wp:positionH>
          <wp:positionV relativeFrom="paragraph">
            <wp:posOffset>0</wp:posOffset>
          </wp:positionV>
          <wp:extent cx="10407015" cy="385445"/>
          <wp:effectExtent b="0" l="0" r="0" t="0"/>
          <wp:wrapSquare wrapText="bothSides" distB="0" distT="0" distL="114300" distR="114300"/>
          <wp:docPr descr="02Hoja" id="2" name="image1.jpg"/>
          <a:graphic>
            <a:graphicData uri="http://schemas.openxmlformats.org/drawingml/2006/picture">
              <pic:pic>
                <pic:nvPicPr>
                  <pic:cNvPr descr="02Hoja" id="0" name="image1.jpg"/>
                  <pic:cNvPicPr preferRelativeResize="0"/>
                </pic:nvPicPr>
                <pic:blipFill>
                  <a:blip r:embed="rId1"/>
                  <a:srcRect b="0" l="0" r="0" t="0"/>
                  <a:stretch>
                    <a:fillRect/>
                  </a:stretch>
                </pic:blipFill>
                <pic:spPr>
                  <a:xfrm>
                    <a:off x="0" y="0"/>
                    <a:ext cx="10407015" cy="385445"/>
                  </a:xfrm>
                  <a:prstGeom prst="rect"/>
                  <a:ln/>
                </pic:spPr>
              </pic:pic>
            </a:graphicData>
          </a:graphic>
        </wp:anchor>
      </w:drawing>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7620</wp:posOffset>
          </wp:positionH>
          <wp:positionV relativeFrom="page">
            <wp:posOffset>0</wp:posOffset>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