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NAZCA ANCESTRAL</w:t>
      </w:r>
    </w:p>
    <w:p w:rsidR="00000000" w:rsidDel="00000000" w:rsidP="00000000" w:rsidRDefault="00000000" w:rsidRPr="00000000" w14:paraId="00000003">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03 DÍAS – 02 NOCHES </w:t>
      </w:r>
    </w:p>
    <w:p w:rsidR="00000000" w:rsidDel="00000000" w:rsidP="00000000" w:rsidRDefault="00000000" w:rsidRPr="00000000" w14:paraId="0000000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Boleto de bus Lima / Nazca / Lima - Empresa de transporte Cruz del Sur, servicio Evolution, 2do. Piso</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Traslados In – Out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02 noches en Nazca + Desayuno</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Tours en servicio regular o compartido:  Sobrevuelo Líneas de Nazca / Cementerio de Chauchilla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Entrada a los atractivos a visitar / Guiado profesional español o inglés</w:t>
      </w:r>
    </w:p>
    <w:p w:rsidR="00000000" w:rsidDel="00000000" w:rsidP="00000000" w:rsidRDefault="00000000" w:rsidRPr="00000000" w14:paraId="0000000B">
      <w:pPr>
        <w:rPr>
          <w:rFonts w:ascii="Gadugi" w:cs="Gadugi" w:eastAsia="Gadugi" w:hAnsi="Gadugi"/>
          <w:sz w:val="20"/>
          <w:szCs w:val="20"/>
        </w:rPr>
      </w:pPr>
      <w:r w:rsidDel="00000000" w:rsidR="00000000" w:rsidRPr="00000000">
        <w:rPr>
          <w:rtl w:val="0"/>
        </w:rPr>
      </w:r>
    </w:p>
    <w:tbl>
      <w:tblPr>
        <w:tblStyle w:val="Table1"/>
        <w:tblW w:w="16426.0" w:type="dxa"/>
        <w:jc w:val="left"/>
        <w:tblInd w:w="-356.0" w:type="dxa"/>
        <w:tblLayout w:type="fixed"/>
        <w:tblLook w:val="0400"/>
      </w:tblPr>
      <w:tblGrid>
        <w:gridCol w:w="9923"/>
        <w:gridCol w:w="523"/>
        <w:gridCol w:w="740"/>
        <w:gridCol w:w="780"/>
        <w:gridCol w:w="660"/>
        <w:gridCol w:w="740"/>
        <w:gridCol w:w="260"/>
        <w:gridCol w:w="700"/>
        <w:gridCol w:w="760"/>
        <w:gridCol w:w="660"/>
        <w:gridCol w:w="680"/>
        <w:tblGridChange w:id="0">
          <w:tblGrid>
            <w:gridCol w:w="9923"/>
            <w:gridCol w:w="523"/>
            <w:gridCol w:w="740"/>
            <w:gridCol w:w="780"/>
            <w:gridCol w:w="660"/>
            <w:gridCol w:w="740"/>
            <w:gridCol w:w="260"/>
            <w:gridCol w:w="700"/>
            <w:gridCol w:w="760"/>
            <w:gridCol w:w="660"/>
            <w:gridCol w:w="680"/>
          </w:tblGrid>
        </w:tblGridChange>
      </w:tblGrid>
      <w:tr>
        <w:trPr>
          <w:cantSplit w:val="0"/>
          <w:trHeight w:val="288" w:hRule="atLeast"/>
          <w:tblHeader w:val="0"/>
        </w:trPr>
        <w:tc>
          <w:tcPr>
            <w:vAlign w:val="bottom"/>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sz w:val="20"/>
                <w:szCs w:val="20"/>
              </w:rPr>
            </w:pPr>
            <w:r w:rsidDel="00000000" w:rsidR="00000000" w:rsidRPr="00000000">
              <w:rPr>
                <w:rtl w:val="0"/>
              </w:rPr>
            </w:r>
          </w:p>
          <w:tbl>
            <w:tblPr>
              <w:tblStyle w:val="Table2"/>
              <w:tblW w:w="9763.0" w:type="dxa"/>
              <w:jc w:val="left"/>
              <w:tblLayout w:type="fixed"/>
              <w:tblLook w:val="0400"/>
            </w:tblPr>
            <w:tblGrid>
              <w:gridCol w:w="3681"/>
              <w:gridCol w:w="543"/>
              <w:gridCol w:w="818"/>
              <w:gridCol w:w="862"/>
              <w:gridCol w:w="770"/>
              <w:gridCol w:w="287"/>
              <w:gridCol w:w="774"/>
              <w:gridCol w:w="940"/>
              <w:gridCol w:w="1088"/>
              <w:tblGridChange w:id="0">
                <w:tblGrid>
                  <w:gridCol w:w="3681"/>
                  <w:gridCol w:w="543"/>
                  <w:gridCol w:w="818"/>
                  <w:gridCol w:w="862"/>
                  <w:gridCol w:w="770"/>
                  <w:gridCol w:w="287"/>
                  <w:gridCol w:w="774"/>
                  <w:gridCol w:w="940"/>
                  <w:gridCol w:w="1088"/>
                </w:tblGrid>
              </w:tblGridChange>
            </w:tblGrid>
            <w:tr>
              <w:trPr>
                <w:cantSplit w:val="0"/>
                <w:trHeight w:val="300" w:hRule="atLeast"/>
                <w:tblHeader w:val="0"/>
              </w:trPr>
              <w:tc>
                <w:tcPr>
                  <w:vMerge w:val="restart"/>
                  <w:tcBorders>
                    <w:top w:color="000000" w:space="0" w:sz="8" w:val="single"/>
                    <w:left w:color="000000" w:space="0" w:sz="8" w:val="single"/>
                    <w:bottom w:color="000000" w:space="0" w:sz="8" w:val="single"/>
                    <w:right w:color="000000" w:space="0" w:sz="8" w:val="single"/>
                  </w:tcBorders>
                  <w:shd w:fill="ffc000" w:val="clear"/>
                  <w:vAlign w:val="center"/>
                </w:tcPr>
                <w:p w:rsidR="00000000" w:rsidDel="00000000" w:rsidP="00000000" w:rsidRDefault="00000000" w:rsidRPr="00000000" w14:paraId="0000000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HOTELES </w:t>
                  </w:r>
                </w:p>
              </w:tc>
              <w:tc>
                <w:tcPr>
                  <w:vMerge w:val="restart"/>
                  <w:tcBorders>
                    <w:top w:color="000000" w:space="0" w:sz="8" w:val="single"/>
                    <w:left w:color="000000" w:space="0" w:sz="8" w:val="single"/>
                    <w:bottom w:color="000000" w:space="0" w:sz="8" w:val="single"/>
                    <w:right w:color="000000" w:space="0" w:sz="8" w:val="single"/>
                  </w:tcBorders>
                  <w:shd w:fill="1f4e79" w:val="clear"/>
                  <w:vAlign w:val="center"/>
                </w:tcPr>
                <w:p w:rsidR="00000000" w:rsidDel="00000000" w:rsidP="00000000" w:rsidRDefault="00000000" w:rsidRPr="00000000" w14:paraId="0000000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CAT</w:t>
                  </w:r>
                </w:p>
              </w:tc>
              <w:tc>
                <w:tcPr>
                  <w:gridSpan w:val="3"/>
                  <w:tcBorders>
                    <w:top w:color="000000" w:space="0" w:sz="8" w:val="single"/>
                    <w:left w:color="000000" w:space="0" w:sz="0" w:val="nil"/>
                    <w:bottom w:color="000000" w:space="0" w:sz="8" w:val="single"/>
                    <w:right w:color="000000" w:space="0" w:sz="8" w:val="single"/>
                  </w:tcBorders>
                  <w:shd w:fill="043c77" w:val="clear"/>
                  <w:vAlign w:val="center"/>
                </w:tcPr>
                <w:p w:rsidR="00000000" w:rsidDel="00000000" w:rsidP="00000000" w:rsidRDefault="00000000" w:rsidRPr="00000000" w14:paraId="0000000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PERUANO</w:t>
                  </w:r>
                </w:p>
              </w:tc>
              <w:tc>
                <w:tcPr>
                  <w:tcBorders>
                    <w:top w:color="000000" w:space="0" w:sz="8" w:val="single"/>
                    <w:left w:color="000000" w:space="0" w:sz="0" w:val="nil"/>
                    <w:bottom w:color="000000" w:space="0" w:sz="8" w:val="single"/>
                    <w:right w:color="000000" w:space="0" w:sz="8" w:val="single"/>
                  </w:tcBorders>
                  <w:shd w:fill="1f4e79" w:val="clear"/>
                  <w:vAlign w:val="bottom"/>
                </w:tcPr>
                <w:p w:rsidR="00000000" w:rsidDel="00000000" w:rsidP="00000000" w:rsidRDefault="00000000" w:rsidRPr="00000000" w14:paraId="00000012">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gridSpan w:val="3"/>
                  <w:tcBorders>
                    <w:top w:color="000000" w:space="0" w:sz="8" w:val="single"/>
                    <w:left w:color="000000" w:space="0" w:sz="0" w:val="nil"/>
                    <w:bottom w:color="000000" w:space="0" w:sz="8" w:val="single"/>
                    <w:right w:color="000000" w:space="0" w:sz="8" w:val="single"/>
                  </w:tcBorders>
                  <w:shd w:fill="043c77" w:val="clear"/>
                  <w:vAlign w:val="center"/>
                </w:tcPr>
                <w:p w:rsidR="00000000" w:rsidDel="00000000" w:rsidP="00000000" w:rsidRDefault="00000000" w:rsidRPr="00000000" w14:paraId="00000013">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EXTRANJERO</w:t>
                  </w:r>
                </w:p>
              </w:tc>
            </w:tr>
            <w:tr>
              <w:trPr>
                <w:cantSplit w:val="0"/>
                <w:trHeight w:val="300" w:hRule="atLeast"/>
                <w:tblHeader w:val="0"/>
              </w:trPr>
              <w:tc>
                <w:tcPr>
                  <w:vMerge w:val="continue"/>
                  <w:tcBorders>
                    <w:top w:color="000000" w:space="0" w:sz="8" w:val="single"/>
                    <w:left w:color="000000" w:space="0" w:sz="8" w:val="single"/>
                    <w:bottom w:color="000000" w:space="0" w:sz="8" w:val="single"/>
                    <w:right w:color="000000" w:space="0" w:sz="8" w:val="single"/>
                  </w:tcBorders>
                  <w:shd w:fill="ffc000"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1f4e79" w:val="cle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color w:val="ffffff"/>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01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SWD</w:t>
                  </w:r>
                </w:p>
              </w:tc>
              <w:tc>
                <w:tcPr>
                  <w:tcBorders>
                    <w:top w:color="000000" w:space="0" w:sz="0" w:val="nil"/>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01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0" w:val="nil"/>
                    <w:left w:color="000000" w:space="0" w:sz="0" w:val="nil"/>
                    <w:bottom w:color="000000" w:space="0" w:sz="8" w:val="single"/>
                    <w:right w:color="000000" w:space="0" w:sz="8" w:val="single"/>
                  </w:tcBorders>
                  <w:shd w:fill="ffcc00" w:val="clear"/>
                  <w:vAlign w:val="center"/>
                </w:tcPr>
                <w:p w:rsidR="00000000" w:rsidDel="00000000" w:rsidP="00000000" w:rsidRDefault="00000000" w:rsidRPr="00000000" w14:paraId="0000001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c>
                <w:tcPr>
                  <w:tcBorders>
                    <w:top w:color="000000" w:space="0" w:sz="0" w:val="nil"/>
                    <w:left w:color="000000" w:space="0" w:sz="0" w:val="nil"/>
                    <w:bottom w:color="000000" w:space="0" w:sz="8" w:val="single"/>
                    <w:right w:color="000000" w:space="0" w:sz="8" w:val="single"/>
                  </w:tcBorders>
                  <w:shd w:fill="1f4e79" w:val="clear"/>
                  <w:vAlign w:val="bottom"/>
                </w:tcPr>
                <w:p w:rsidR="00000000" w:rsidDel="00000000" w:rsidP="00000000" w:rsidRDefault="00000000" w:rsidRPr="00000000" w14:paraId="0000001B">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c>
                <w:tcPr>
                  <w:tcBorders>
                    <w:top w:color="000000" w:space="0" w:sz="0" w:val="nil"/>
                    <w:left w:color="000000" w:space="0" w:sz="0" w:val="nil"/>
                    <w:bottom w:color="000000" w:space="0" w:sz="8" w:val="single"/>
                    <w:right w:color="000000" w:space="0" w:sz="8" w:val="single"/>
                  </w:tcBorders>
                  <w:shd w:fill="ffc000" w:val="clear"/>
                  <w:vAlign w:val="center"/>
                </w:tcPr>
                <w:p w:rsidR="00000000" w:rsidDel="00000000" w:rsidP="00000000" w:rsidRDefault="00000000" w:rsidRPr="00000000" w14:paraId="0000001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SWB</w:t>
                  </w:r>
                </w:p>
              </w:tc>
              <w:tc>
                <w:tcPr>
                  <w:tcBorders>
                    <w:top w:color="000000" w:space="0" w:sz="0" w:val="nil"/>
                    <w:left w:color="000000" w:space="0" w:sz="0" w:val="nil"/>
                    <w:bottom w:color="000000" w:space="0" w:sz="8" w:val="single"/>
                    <w:right w:color="000000" w:space="0" w:sz="8" w:val="single"/>
                  </w:tcBorders>
                  <w:shd w:fill="ffc000" w:val="clear"/>
                  <w:vAlign w:val="center"/>
                </w:tcPr>
                <w:p w:rsidR="00000000" w:rsidDel="00000000" w:rsidP="00000000" w:rsidRDefault="00000000" w:rsidRPr="00000000" w14:paraId="0000001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DWB</w:t>
                  </w:r>
                </w:p>
              </w:tc>
              <w:tc>
                <w:tcPr>
                  <w:tcBorders>
                    <w:top w:color="000000" w:space="0" w:sz="0" w:val="nil"/>
                    <w:left w:color="000000" w:space="0" w:sz="0" w:val="nil"/>
                    <w:bottom w:color="000000" w:space="0" w:sz="8" w:val="single"/>
                    <w:right w:color="000000" w:space="0" w:sz="8" w:val="single"/>
                  </w:tcBorders>
                  <w:shd w:fill="ffc000" w:val="clear"/>
                  <w:vAlign w:val="center"/>
                </w:tcPr>
                <w:p w:rsidR="00000000" w:rsidDel="00000000" w:rsidP="00000000" w:rsidRDefault="00000000" w:rsidRPr="00000000" w14:paraId="0000001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TPL</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F">
                  <w:pPr>
                    <w:rPr>
                      <w:rFonts w:ascii="Gadugi" w:cs="Gadugi" w:eastAsia="Gadugi" w:hAnsi="Gadugi"/>
                      <w:color w:val="000000"/>
                      <w:sz w:val="20"/>
                      <w:szCs w:val="20"/>
                    </w:rPr>
                  </w:pPr>
                  <w:bookmarkStart w:colFirst="0" w:colLast="0" w:name="_heading=h.f2vxdgbmwzup" w:id="0"/>
                  <w:bookmarkEnd w:id="0"/>
                  <w:r w:rsidDel="00000000" w:rsidR="00000000" w:rsidRPr="00000000">
                    <w:rPr>
                      <w:rFonts w:ascii="Gadugi" w:cs="Gadugi" w:eastAsia="Gadugi" w:hAnsi="Gadugi"/>
                      <w:color w:val="000000"/>
                      <w:sz w:val="20"/>
                      <w:szCs w:val="20"/>
                      <w:rtl w:val="0"/>
                    </w:rPr>
                    <w:t xml:space="preserve">Hotel la Familia house  </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2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265.00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245.00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243.00</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24">
                  <w:pPr>
                    <w:jc w:val="center"/>
                    <w:rPr>
                      <w:rFonts w:ascii="Gadugi" w:cs="Gadugi" w:eastAsia="Gadugi" w:hAnsi="Gadugi"/>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265.00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245.00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243.00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8">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Hotel Oro Viejo</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29">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343.00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284.00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268.00</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2D">
                  <w:pPr>
                    <w:jc w:val="center"/>
                    <w:rPr>
                      <w:rFonts w:ascii="Gadugi" w:cs="Gadugi" w:eastAsia="Gadugi" w:hAnsi="Gadugi"/>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323.00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273.00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260.00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1">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Hotel Alegria Nasca </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3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330.00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284.00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271.00</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36">
                  <w:pPr>
                    <w:jc w:val="center"/>
                    <w:rPr>
                      <w:rFonts w:ascii="Gadugi" w:cs="Gadugi" w:eastAsia="Gadugi" w:hAnsi="Gadugi"/>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312.00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8">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273.00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262.00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A">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Casa Andina Standard Nasca</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3B">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C">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368.00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D">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299.00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299.00</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3F">
                  <w:pPr>
                    <w:jc w:val="center"/>
                    <w:rPr>
                      <w:rFonts w:ascii="Gadugi" w:cs="Gadugi" w:eastAsia="Gadugi" w:hAnsi="Gadugi"/>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347.00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1">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287.00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287.00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3">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Dm – Nazca </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44">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5">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384.00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6">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314.00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7">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290.00</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48">
                  <w:pPr>
                    <w:jc w:val="center"/>
                    <w:rPr>
                      <w:rFonts w:ascii="Gadugi" w:cs="Gadugi" w:eastAsia="Gadugi" w:hAnsi="Gadugi"/>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9">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360.00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A">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300.00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B">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280.00</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C">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Hotel Majoro Hacienda Boutique &amp; Resort</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4D">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E">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396.00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F">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304.00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0">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295.00</w:t>
                  </w:r>
                </w:p>
              </w:tc>
              <w:tc>
                <w:tcPr>
                  <w:tcBorders>
                    <w:top w:color="000000" w:space="0" w:sz="0" w:val="nil"/>
                    <w:left w:color="000000" w:space="0" w:sz="0" w:val="nil"/>
                    <w:bottom w:color="000000" w:space="0" w:sz="8" w:val="single"/>
                    <w:right w:color="000000" w:space="0" w:sz="8" w:val="single"/>
                  </w:tcBorders>
                  <w:shd w:fill="1f4e79" w:val="clear"/>
                  <w:vAlign w:val="center"/>
                </w:tcPr>
                <w:p w:rsidR="00000000" w:rsidDel="00000000" w:rsidP="00000000" w:rsidRDefault="00000000" w:rsidRPr="00000000" w14:paraId="00000051">
                  <w:pPr>
                    <w:jc w:val="center"/>
                    <w:rPr>
                      <w:rFonts w:ascii="Gadugi" w:cs="Gadugi" w:eastAsia="Gadugi" w:hAnsi="Gadugi"/>
                      <w:b w:val="1"/>
                      <w:bCs w:val="1"/>
                      <w:color w:val="000000"/>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2">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370.00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3">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291.00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4">
                  <w:pPr>
                    <w:jc w:val="cente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283.00</w:t>
                  </w:r>
                </w:p>
              </w:tc>
            </w:tr>
          </w:tbl>
          <w:p w:rsidR="00000000" w:rsidDel="00000000" w:rsidP="00000000" w:rsidRDefault="00000000" w:rsidRPr="00000000" w14:paraId="00000055">
            <w:pPr>
              <w:rPr>
                <w:rFonts w:ascii="Gadugi" w:cs="Gadugi" w:eastAsia="Gadugi" w:hAnsi="Gadugi"/>
                <w:b w:val="1"/>
                <w:bCs w:val="1"/>
                <w:color w:val="000000"/>
                <w:sz w:val="20"/>
                <w:szCs w:val="20"/>
              </w:rPr>
            </w:pPr>
            <w:r w:rsidDel="00000000" w:rsidR="00000000" w:rsidRPr="00000000">
              <w:rPr>
                <w:rtl w:val="0"/>
              </w:rPr>
            </w:r>
          </w:p>
        </w:tc>
        <w:tc>
          <w:tcPr>
            <w:vAlign w:val="bottom"/>
          </w:tcPr>
          <w:p w:rsidR="00000000" w:rsidDel="00000000" w:rsidP="00000000" w:rsidRDefault="00000000" w:rsidRPr="00000000" w14:paraId="00000056">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7">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8">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9">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A">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B">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C">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D">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E">
            <w:pPr>
              <w:rPr>
                <w:rFonts w:ascii="Calibri" w:cs="Calibri" w:eastAsia="Calibri" w:hAnsi="Calibri"/>
                <w:sz w:val="20"/>
                <w:szCs w:val="20"/>
              </w:rPr>
            </w:pPr>
            <w:r w:rsidDel="00000000" w:rsidR="00000000" w:rsidRPr="00000000">
              <w:rPr>
                <w:rtl w:val="0"/>
              </w:rPr>
            </w:r>
          </w:p>
        </w:tc>
        <w:tc>
          <w:tcPr>
            <w:vAlign w:val="bottom"/>
          </w:tcPr>
          <w:p w:rsidR="00000000" w:rsidDel="00000000" w:rsidP="00000000" w:rsidRDefault="00000000" w:rsidRPr="00000000" w14:paraId="0000005F">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60">
      <w:pPr>
        <w:ind w:left="-426" w:firstLine="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 </w:t>
      </w:r>
    </w:p>
    <w:p w:rsidR="00000000" w:rsidDel="00000000" w:rsidP="00000000" w:rsidRDefault="00000000" w:rsidRPr="00000000" w14:paraId="00000061">
      <w:pPr>
        <w:ind w:left="-426"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2">
      <w:pPr>
        <w:ind w:left="-426" w:firstLine="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PRECIOS POR PERSONA / EXPRESADOS EN DÓLARES AMERICANOS</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TARIFAS APLICAN PARA UN MÍNIMO DE 02 PAXS.</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TARIFAS SUJETAS A CAMBIO SIN PREVIO AVISO</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TARIFA NO APLICA EN SEMANA SANTA / FIESTAS PATRIAS / AÑO NUEVO / FIN DE SEMANA LARGO.</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TIPO DE CAMBIO: 4.00 (sujeto a variaciones del mercado)</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T.C CARGO 4%</w:t>
      </w:r>
    </w:p>
    <w:p w:rsidR="00000000" w:rsidDel="00000000" w:rsidP="00000000" w:rsidRDefault="00000000" w:rsidRPr="00000000" w14:paraId="00000069">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A">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highlight w:val="yellow"/>
          <w:rtl w:val="0"/>
        </w:rPr>
        <w:t xml:space="preserve">INFORMACION DE LOS HOTELES:</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HOTEL ALEGRIA T. Baja: 01 Ene al 31 May / 01 de Oct al 31 de Dic </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HOTEL ALEGRIA T. Alta: 01 Junio al 30 Setiembre</w:t>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HOTEL AREQUIPA: Tarifas hasta Junio 2025</w:t>
      </w:r>
    </w:p>
    <w:p w:rsidR="00000000" w:rsidDel="00000000" w:rsidP="00000000" w:rsidRDefault="00000000" w:rsidRPr="00000000" w14:paraId="0000006E">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F">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IMPORTANTE: </w:t>
      </w:r>
    </w:p>
    <w:p w:rsidR="00000000" w:rsidDel="00000000" w:rsidP="00000000" w:rsidRDefault="00000000" w:rsidRPr="00000000" w14:paraId="00000070">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No incluye impuesto de sobrevuelo </w:t>
      </w:r>
      <w:r w:rsidDel="00000000" w:rsidR="00000000" w:rsidRPr="00000000">
        <w:rPr>
          <w:rFonts w:ascii="Gadugi" w:cs="Gadugi" w:eastAsia="Gadugi" w:hAnsi="Gadugi"/>
          <w:b w:val="1"/>
          <w:bCs w:val="1"/>
          <w:sz w:val="20"/>
          <w:szCs w:val="20"/>
          <w:rtl w:val="0"/>
        </w:rPr>
        <w:t xml:space="preserve">$ 10.00 aprox.</w:t>
      </w:r>
    </w:p>
    <w:p w:rsidR="00000000" w:rsidDel="00000000" w:rsidP="00000000" w:rsidRDefault="00000000" w:rsidRPr="00000000" w14:paraId="00000071">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No incluye boleto turístico</w:t>
      </w:r>
      <w:r w:rsidDel="00000000" w:rsidR="00000000" w:rsidRPr="00000000">
        <w:rPr>
          <w:rFonts w:ascii="Gadugi" w:cs="Gadugi" w:eastAsia="Gadugi" w:hAnsi="Gadugi"/>
          <w:b w:val="1"/>
          <w:bCs w:val="1"/>
          <w:sz w:val="20"/>
          <w:szCs w:val="20"/>
          <w:rtl w:val="0"/>
        </w:rPr>
        <w:t xml:space="preserve"> $ 15.00 aprox.</w:t>
      </w:r>
      <w:r w:rsidDel="00000000" w:rsidR="00000000" w:rsidRPr="00000000">
        <w:rPr>
          <w:rtl w:val="0"/>
        </w:rPr>
      </w:r>
    </w:p>
    <w:p w:rsidR="00000000" w:rsidDel="00000000" w:rsidP="00000000" w:rsidRDefault="00000000" w:rsidRPr="00000000" w14:paraId="00000072">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Para los viajes en bus el pasajero tiene derecho a transportar hasta 20 kilos de equipaje en bodega y 5 kilos en maletín de mano.</w:t>
      </w:r>
    </w:p>
    <w:p w:rsidR="00000000" w:rsidDel="00000000" w:rsidP="00000000" w:rsidRDefault="00000000" w:rsidRPr="00000000" w14:paraId="00000073">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4">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CONDICIONES Y TERMINOS PARA SOBREVUELO:</w:t>
      </w:r>
    </w:p>
    <w:p w:rsidR="00000000" w:rsidDel="00000000" w:rsidP="00000000" w:rsidRDefault="00000000" w:rsidRPr="00000000" w14:paraId="00000075">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Los pasajeros nacionales o extranjeros que sobrevuelen las Líneas de Nazca deberán llevar consigo su DNI o pasaporte original (incluidos menores de edad).</w:t>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El pasajero que exceda los 95 kg. de peso, pagar un asiento adicional.</w:t>
      </w:r>
    </w:p>
    <w:p w:rsidR="00000000" w:rsidDel="00000000" w:rsidP="00000000" w:rsidRDefault="00000000" w:rsidRPr="00000000" w14:paraId="000000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El tiempo de espera en temporada alta es de 90 a 120 minutos.</w:t>
      </w:r>
    </w:p>
    <w:p w:rsidR="00000000" w:rsidDel="00000000" w:rsidP="00000000" w:rsidRDefault="00000000" w:rsidRPr="00000000" w14:paraId="0000007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Los niños desde los 2 años de edad ocupan asiento y pagan pasaje completo (avioneta).</w:t>
      </w:r>
    </w:p>
    <w:p w:rsidR="00000000" w:rsidDel="00000000" w:rsidP="00000000" w:rsidRDefault="00000000" w:rsidRPr="00000000" w14:paraId="0000007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Los sobrevuelos a las Líneas de Nazca empezaran a partir de las 7:00 am hasta las 4:30 pm (sujeto a condiciones meteorológicas).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ITINERARIO</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1: LIMA – NAZCA </w:t>
      </w:r>
    </w:p>
    <w:p w:rsidR="00000000" w:rsidDel="00000000" w:rsidP="00000000" w:rsidRDefault="00000000" w:rsidRPr="00000000" w14:paraId="0000007F">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07:15 Hrs. Salida hacia la ciudad de Nazca – Empresa Cruz del Sur. </w:t>
      </w:r>
    </w:p>
    <w:p w:rsidR="00000000" w:rsidDel="00000000" w:rsidP="00000000" w:rsidRDefault="00000000" w:rsidRPr="00000000" w14:paraId="00000080">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15:00 Hrs. Llegada a Nazca.</w:t>
      </w:r>
    </w:p>
    <w:p w:rsidR="00000000" w:rsidDel="00000000" w:rsidP="00000000" w:rsidRDefault="00000000" w:rsidRPr="00000000" w14:paraId="00000081">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 al hotel elegido.</w:t>
      </w:r>
    </w:p>
    <w:p w:rsidR="00000000" w:rsidDel="00000000" w:rsidP="00000000" w:rsidRDefault="00000000" w:rsidRPr="00000000" w14:paraId="00000082">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Tarde libre para disfrutar de las instalaciones del hotel.</w:t>
      </w:r>
    </w:p>
    <w:p w:rsidR="00000000" w:rsidDel="00000000" w:rsidP="00000000" w:rsidRDefault="00000000" w:rsidRPr="00000000" w14:paraId="00000083">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Noche de alojamiento.</w:t>
      </w:r>
    </w:p>
    <w:p w:rsidR="00000000" w:rsidDel="00000000" w:rsidP="00000000" w:rsidRDefault="00000000" w:rsidRPr="00000000" w14:paraId="0000008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5">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 NAZCA – LIMA </w:t>
      </w:r>
    </w:p>
    <w:p w:rsidR="00000000" w:rsidDel="00000000" w:rsidP="00000000" w:rsidRDefault="00000000" w:rsidRPr="00000000" w14:paraId="00000086">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w:t>
      </w:r>
    </w:p>
    <w:p w:rsidR="00000000" w:rsidDel="00000000" w:rsidP="00000000" w:rsidRDefault="00000000" w:rsidRPr="00000000" w14:paraId="00000087">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Am. traslado al aeródromo de Nazca. </w:t>
      </w:r>
    </w:p>
    <w:p w:rsidR="00000000" w:rsidDel="00000000" w:rsidP="00000000" w:rsidRDefault="00000000" w:rsidRPr="00000000" w14:paraId="00000088">
      <w:pPr>
        <w:jc w:val="both"/>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SOBREVUELO A LAS LÍNEAS DE NAZCA </w:t>
      </w:r>
      <w:r w:rsidDel="00000000" w:rsidR="00000000" w:rsidRPr="00000000">
        <w:rPr>
          <w:rtl w:val="0"/>
        </w:rPr>
      </w:r>
    </w:p>
    <w:p w:rsidR="00000000" w:rsidDel="00000000" w:rsidP="00000000" w:rsidRDefault="00000000" w:rsidRPr="00000000" w14:paraId="00000089">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Abordaremos una avioneta que sobrevolará las misteriosas Líneas de Nazca; enormes dibujos lineales de animales, pájaros y figuras geométricas, dibujados en el desierto, que sólo pueden ser apreciados desde el aire. </w:t>
      </w:r>
    </w:p>
    <w:p w:rsidR="00000000" w:rsidDel="00000000" w:rsidP="00000000" w:rsidRDefault="00000000" w:rsidRPr="00000000" w14:paraId="0000008A">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8B">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3: NAZCA – LIMA </w:t>
      </w:r>
    </w:p>
    <w:p w:rsidR="00000000" w:rsidDel="00000000" w:rsidP="00000000" w:rsidRDefault="00000000" w:rsidRPr="00000000" w14:paraId="0000008C">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CEMENTERIO CHAUCHILLA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highlight w:val="white"/>
          <w:u w:val="none"/>
          <w:vertAlign w:val="baseline"/>
          <w:rtl w:val="0"/>
        </w:rPr>
        <w:t xml:space="preserve">09.30 hrs. Tour al cementerio de Chauchilla. Se realiza normalmente después o antes del sobrevuelo a las Líneas de Nazca. Nuestros clientes son recogidos de sus respectivos hoteles. La zona arqueológica de Chauchilla está ubicado en una zona desértica, aproximadamente a 28 kilómetros de la ciudad de Nazca. Es accesible siguiendo la carretera Panamericana sur por más o menos 20 kilómetros y luego tomando </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un desvió carrozable de 7 Km. Por muchos años este cementerio pre incaico ha sido saqueado por buscadores de tesoros, quienes destruyeron las tumbas y robaron todos los tesoros que yacían con las momias. Durante la visita se puede apreciar esqueletos y cráneos, también se pueden ver tumbas en buen estado con más de mil años de antigüedad, largas trenzas de cabello humano, y cuerpos momificados de niños en perfecto estado.</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Después de explorar la zona de Chauchilla, regresaremos a Nazca y visitaremos el taller de un ceramista quien nos dará detalles sobre la evolución de la civilización Nazca y nos demostrara como los hombres de esta cultura hicieron sus bellos y coloridos ceramios hace dos mil años. Para finalizar nuestro paseo, visitaremos un lugar donde mineros informales suelen trabajar en condiciones muy extremas para extraer el oro de las rocas. La técnica que ellos usan se remonta a la época colonial, e implica el uso de grandes morteros, mucha agua y mercurio. Aquí habrá un minero/expositor quien muy amablemente les explicará todo el proceso que encierra dicha labor.</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12:30 hrs. Salida hacia la ciudad de Lima – empresa Cruz del Sur.</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20:05 hrs. Llegada Lima.</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sz w:val="20"/>
          <w:szCs w:val="20"/>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FIN DE LOS SERVICIOS </w:t>
      </w:r>
      <w:r w:rsidDel="00000000" w:rsidR="00000000" w:rsidRPr="00000000">
        <w:rPr>
          <w:rtl w:val="0"/>
        </w:rPr>
      </w:r>
    </w:p>
    <w:p w:rsidR="00000000" w:rsidDel="00000000" w:rsidP="00000000" w:rsidRDefault="00000000" w:rsidRPr="00000000" w14:paraId="00000095">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01"/>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F4pg+Kj2BNmrfjDRiTNG0r1jog==">CgMxLjAyDmguZjJ2eGRnYm13enVwOAByITFJTXJCNEs4OHlSeUgyME9ZakZBRHVwT3NUeFA3dFpsWA==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2026-03-13T21:17:00Z</dcterms:created>
  <dc:creator>user</dc:creator>
</cp:coreProperties>
</file>